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B0AA">
      <w:pPr>
        <w:spacing w:line="240" w:lineRule="auto"/>
        <w:jc w:val="both"/>
        <w:rPr>
          <w:rFonts w:ascii="Times New Roman" w:hAnsi="Times New Roman" w:cs="Times New Roman"/>
          <w:b/>
          <w:bCs/>
          <w:sz w:val="32"/>
          <w:szCs w:val="32"/>
        </w:rPr>
      </w:pPr>
      <w:r>
        <w:rPr>
          <w:rFonts w:ascii="Times New Roman" w:hAnsi="Times New Roman" w:cs="Times New Roman"/>
          <w:b/>
          <w:bCs/>
          <w:sz w:val="32"/>
          <w:szCs w:val="32"/>
        </w:rPr>
        <w:t>Transforming Periodontal Care with Digital Tools: Precision Meets Exceptional Patient Care - An Overview</w:t>
      </w:r>
    </w:p>
    <w:p w14:paraId="5F09F0EC">
      <w:pPr>
        <w:spacing w:line="240" w:lineRule="auto"/>
        <w:jc w:val="both"/>
        <w:rPr>
          <w:rFonts w:hint="default" w:ascii="Times New Roman" w:hAnsi="Times New Roman" w:cs="Times New Roman"/>
          <w:b/>
          <w:bCs/>
          <w:sz w:val="28"/>
          <w:szCs w:val="28"/>
          <w:vertAlign w:val="superscript"/>
          <w:lang w:val="en-IN"/>
        </w:rPr>
      </w:pPr>
      <w:r>
        <w:rPr>
          <w:rFonts w:ascii="Times New Roman" w:hAnsi="Times New Roman" w:cs="Times New Roman"/>
          <w:b/>
          <w:bCs/>
          <w:sz w:val="28"/>
          <w:szCs w:val="28"/>
        </w:rPr>
        <w:t>Vikram Bali,</w:t>
      </w:r>
      <w:r>
        <w:rPr>
          <w:rFonts w:hint="default" w:ascii="Times New Roman" w:hAnsi="Times New Roman" w:cs="Times New Roman"/>
          <w:b/>
          <w:bCs/>
          <w:sz w:val="28"/>
          <w:szCs w:val="28"/>
          <w:vertAlign w:val="superscript"/>
          <w:lang w:val="en-IN"/>
        </w:rPr>
        <w:t xml:space="preserve">1 </w:t>
      </w:r>
      <w:r>
        <w:rPr>
          <w:rFonts w:ascii="Times New Roman" w:hAnsi="Times New Roman" w:cs="Times New Roman"/>
          <w:b/>
          <w:bCs/>
          <w:sz w:val="28"/>
          <w:szCs w:val="28"/>
        </w:rPr>
        <w:t>Rajneesh Parimoo,</w:t>
      </w:r>
      <w:r>
        <w:rPr>
          <w:rFonts w:hint="default" w:ascii="Times New Roman" w:hAnsi="Times New Roman" w:cs="Times New Roman"/>
          <w:b/>
          <w:bCs/>
          <w:sz w:val="28"/>
          <w:szCs w:val="28"/>
          <w:vertAlign w:val="superscript"/>
          <w:lang w:val="en-IN"/>
        </w:rPr>
        <w:t xml:space="preserve">2 </w:t>
      </w:r>
      <w:r>
        <w:rPr>
          <w:rFonts w:ascii="Times New Roman" w:hAnsi="Times New Roman" w:cs="Times New Roman"/>
          <w:b/>
          <w:bCs/>
          <w:sz w:val="28"/>
          <w:szCs w:val="28"/>
        </w:rPr>
        <w:t>Srishti Khanduja</w:t>
      </w:r>
      <w:r>
        <w:rPr>
          <w:rFonts w:hint="default" w:ascii="Times New Roman" w:hAnsi="Times New Roman" w:cs="Times New Roman"/>
          <w:b/>
          <w:bCs/>
          <w:sz w:val="28"/>
          <w:szCs w:val="28"/>
          <w:vertAlign w:val="superscript"/>
          <w:lang w:val="en-IN"/>
        </w:rPr>
        <w:t>3</w:t>
      </w:r>
    </w:p>
    <w:p w14:paraId="6EEB366C">
      <w:pPr>
        <w:spacing w:line="240" w:lineRule="auto"/>
        <w:jc w:val="both"/>
        <w:rPr>
          <w:rFonts w:ascii="Times New Roman" w:hAnsi="Times New Roman" w:cs="Times New Roman"/>
          <w:sz w:val="28"/>
          <w:szCs w:val="28"/>
        </w:rPr>
      </w:pPr>
      <w:r>
        <w:rPr>
          <w:rFonts w:ascii="Times New Roman" w:hAnsi="Times New Roman" w:cs="Times New Roman"/>
          <w:sz w:val="28"/>
          <w:szCs w:val="28"/>
          <w:vertAlign w:val="superscript"/>
        </w:rPr>
        <w:t>1</w:t>
      </w:r>
      <w:r>
        <w:rPr>
          <w:rFonts w:ascii="Times New Roman" w:hAnsi="Times New Roman" w:cs="Times New Roman"/>
          <w:sz w:val="28"/>
          <w:szCs w:val="28"/>
        </w:rPr>
        <w:t>Professor &amp; Head,</w:t>
      </w:r>
      <w:r>
        <w:rPr>
          <w:rFonts w:ascii="Times New Roman" w:hAnsi="Times New Roman" w:cs="Times New Roman"/>
          <w:sz w:val="28"/>
          <w:szCs w:val="28"/>
          <w:vertAlign w:val="superscript"/>
        </w:rPr>
        <w:t>2</w:t>
      </w:r>
      <w:r>
        <w:rPr>
          <w:rFonts w:ascii="Times New Roman" w:hAnsi="Times New Roman" w:cs="Times New Roman"/>
          <w:sz w:val="28"/>
          <w:szCs w:val="28"/>
        </w:rPr>
        <w:t xml:space="preserve">Associate Professor, </w:t>
      </w:r>
      <w:r>
        <w:rPr>
          <w:rFonts w:ascii="Times New Roman" w:hAnsi="Times New Roman" w:cs="Times New Roman"/>
          <w:sz w:val="28"/>
          <w:szCs w:val="28"/>
          <w:vertAlign w:val="superscript"/>
        </w:rPr>
        <w:t>3</w:t>
      </w:r>
      <w:r>
        <w:rPr>
          <w:rFonts w:ascii="Times New Roman" w:hAnsi="Times New Roman" w:cs="Times New Roman"/>
          <w:sz w:val="28"/>
          <w:szCs w:val="28"/>
        </w:rPr>
        <w:t>Post Graduate Student</w:t>
      </w:r>
      <w:r>
        <w:rPr>
          <w:rFonts w:hint="default" w:ascii="Times New Roman" w:hAnsi="Times New Roman" w:cs="Times New Roman"/>
          <w:sz w:val="28"/>
          <w:szCs w:val="28"/>
          <w:lang w:val="en-IN"/>
        </w:rPr>
        <w:t xml:space="preserve">, </w:t>
      </w:r>
      <w:r>
        <w:rPr>
          <w:rFonts w:ascii="Times New Roman" w:hAnsi="Times New Roman" w:cs="Times New Roman"/>
          <w:sz w:val="28"/>
          <w:szCs w:val="28"/>
        </w:rPr>
        <w:t>Department of Periodontics and Oral Implantology, Desh Bhagat Dental College and Hospital, Mandi Gobindgarh, Punjab, India.</w:t>
      </w:r>
    </w:p>
    <w:p w14:paraId="525EC6BD">
      <w:pPr>
        <w:pStyle w:val="15"/>
        <w:spacing w:before="0" w:beforeAutospacing="0" w:after="0" w:afterAutospacing="0"/>
        <w:jc w:val="both"/>
        <w:rPr>
          <w:rFonts w:ascii="Times New Roman" w:hAnsi="Times New Roman" w:cs="Times New Roman"/>
          <w:sz w:val="28"/>
          <w:szCs w:val="28"/>
        </w:rPr>
      </w:pPr>
      <w:r>
        <w:rPr>
          <w:rFonts w:hint="default"/>
          <w:b/>
          <w:bCs/>
          <w:sz w:val="28"/>
          <w:szCs w:val="28"/>
          <w:lang w:val="en-IN"/>
        </w:rPr>
        <w:t>Corresponding author:</w:t>
      </w:r>
      <w:r>
        <w:rPr>
          <w:rFonts w:hint="default"/>
          <w:sz w:val="28"/>
          <w:szCs w:val="28"/>
          <w:lang w:val="en-IN"/>
        </w:rPr>
        <w:t xml:space="preserve"> Dr. </w:t>
      </w:r>
      <w:r>
        <w:rPr>
          <w:sz w:val="28"/>
          <w:szCs w:val="28"/>
        </w:rPr>
        <w:t>Srishti Khanduja</w:t>
      </w:r>
      <w:r>
        <w:rPr>
          <w:rFonts w:hint="default"/>
          <w:sz w:val="28"/>
          <w:szCs w:val="28"/>
          <w:lang w:val="en-IN"/>
        </w:rPr>
        <w:t xml:space="preserve">, </w:t>
      </w:r>
      <w:r>
        <w:rPr>
          <w:rFonts w:ascii="Times New Roman" w:hAnsi="Times New Roman" w:cs="Times New Roman"/>
          <w:sz w:val="28"/>
          <w:szCs w:val="28"/>
        </w:rPr>
        <w:t>Post Graduate Student</w:t>
      </w:r>
      <w:r>
        <w:rPr>
          <w:rFonts w:hint="default" w:cs="Times New Roman"/>
          <w:sz w:val="28"/>
          <w:szCs w:val="28"/>
          <w:lang w:val="en-IN"/>
        </w:rPr>
        <w:t xml:space="preserve">, </w:t>
      </w:r>
      <w:r>
        <w:rPr>
          <w:sz w:val="28"/>
          <w:szCs w:val="28"/>
        </w:rPr>
        <w:t>Department of Periodontics and Oral Implantology,</w:t>
      </w:r>
      <w:r>
        <w:rPr>
          <w:rFonts w:hint="default"/>
          <w:sz w:val="28"/>
          <w:szCs w:val="28"/>
          <w:lang w:val="en-IN"/>
        </w:rPr>
        <w:t xml:space="preserve"> </w:t>
      </w:r>
      <w:r>
        <w:rPr>
          <w:rFonts w:ascii="Times New Roman" w:hAnsi="Times New Roman" w:cs="Times New Roman"/>
          <w:sz w:val="28"/>
          <w:szCs w:val="28"/>
        </w:rPr>
        <w:t xml:space="preserve">Desh Bhagat Dental College and Hospital, </w:t>
      </w:r>
      <w:r>
        <w:rPr>
          <w:rFonts w:hint="default" w:cs="Times New Roman"/>
          <w:sz w:val="28"/>
          <w:szCs w:val="28"/>
          <w:lang w:val="en-IN"/>
        </w:rPr>
        <w:t xml:space="preserve"> </w:t>
      </w:r>
      <w:r>
        <w:rPr>
          <w:rFonts w:ascii="Times New Roman" w:hAnsi="Times New Roman" w:cs="Times New Roman"/>
          <w:sz w:val="28"/>
          <w:szCs w:val="28"/>
        </w:rPr>
        <w:t>Mandi Gobindgarh, Punjab, India</w:t>
      </w:r>
      <w:r>
        <w:rPr>
          <w:rFonts w:hint="default" w:cs="Times New Roman"/>
          <w:sz w:val="28"/>
          <w:szCs w:val="28"/>
          <w:lang w:val="en-IN"/>
        </w:rPr>
        <w:t xml:space="preserve">. </w:t>
      </w:r>
      <w:r>
        <w:rPr>
          <w:rFonts w:ascii="Times New Roman" w:hAnsi="Times New Roman" w:cs="Times New Roman"/>
          <w:sz w:val="28"/>
          <w:szCs w:val="28"/>
        </w:rPr>
        <w:t>Email id- ksrishti111@gmail.com</w:t>
      </w:r>
    </w:p>
    <w:p w14:paraId="25E78C77">
      <w:pPr>
        <w:spacing w:line="240" w:lineRule="auto"/>
        <w:jc w:val="both"/>
        <w:rPr>
          <w:rFonts w:ascii="Times New Roman" w:hAnsi="Times New Roman" w:cs="Times New Roman"/>
          <w:sz w:val="32"/>
          <w:szCs w:val="32"/>
        </w:rPr>
      </w:pPr>
    </w:p>
    <w:p w14:paraId="746F42B7">
      <w:pPr>
        <w:spacing w:line="240" w:lineRule="auto"/>
        <w:jc w:val="both"/>
        <w:rPr>
          <w:rFonts w:ascii="Times New Roman" w:hAnsi="Times New Roman" w:cs="Times New Roman"/>
          <w:b/>
          <w:bCs/>
          <w:sz w:val="28"/>
          <w:szCs w:val="36"/>
        </w:rPr>
      </w:pPr>
      <w:r>
        <w:rPr>
          <w:rFonts w:ascii="Times New Roman" w:hAnsi="Times New Roman" w:cs="Times New Roman"/>
          <w:b/>
          <w:bCs/>
          <w:sz w:val="28"/>
          <w:szCs w:val="36"/>
        </w:rPr>
        <w:t>ABSTRACT</w:t>
      </w:r>
    </w:p>
    <w:p w14:paraId="4C2A7657">
      <w:pPr>
        <w:spacing w:line="240" w:lineRule="auto"/>
        <w:jc w:val="both"/>
        <w:rPr>
          <w:rFonts w:ascii="Times New Roman" w:hAnsi="Times New Roman" w:cs="Times New Roman"/>
          <w:sz w:val="28"/>
          <w:szCs w:val="28"/>
        </w:rPr>
      </w:pPr>
      <w:r>
        <w:rPr>
          <w:rStyle w:val="37"/>
          <w:rFonts w:ascii="Times New Roman" w:hAnsi="Times New Roman" w:cs="Times New Roman"/>
          <w:b/>
          <w:bCs/>
          <w:sz w:val="28"/>
          <w:szCs w:val="28"/>
        </w:rPr>
        <w:t xml:space="preserve">Background: </w:t>
      </w:r>
      <w:r>
        <w:rPr>
          <w:rFonts w:ascii="Times New Roman" w:hAnsi="Times New Roman" w:cs="Times New Roman"/>
          <w:sz w:val="28"/>
          <w:szCs w:val="28"/>
        </w:rPr>
        <w:t xml:space="preserve">Digital treatment planning is a major shift in periodontics. It basically combines advanced imaging, AI, and precision medicine to create personalized care based on actual data. We are moving away from relying only on visual exams and the old "one-size-fits-all" methods. Instead, modern decisions come from a patient’s unique data, which helps overcome the limits of old methods like the 2D X-rays—by using 3D models and smart analytics. </w:t>
      </w:r>
      <w:r>
        <w:rPr>
          <w:rFonts w:ascii="Times New Roman" w:hAnsi="Times New Roman" w:cs="Times New Roman"/>
          <w:b/>
          <w:bCs/>
          <w:sz w:val="28"/>
          <w:szCs w:val="28"/>
        </w:rPr>
        <w:t>Objective:</w:t>
      </w:r>
      <w:r>
        <w:rPr>
          <w:rFonts w:ascii="Times New Roman" w:hAnsi="Times New Roman" w:cs="Times New Roman"/>
          <w:sz w:val="28"/>
          <w:szCs w:val="28"/>
        </w:rPr>
        <w:t xml:space="preserve"> This overview looks at how we are shifting from basic checkups to more advanced, personal strategies in periodontal care. It covers key steps like 3D imaging, using biomarkers for specific treatments, and using AI to predict risks. The goal is to show how these tools actually improve everyday dental practice. The precision workflow provides a much clearer diagnosis. New tech, like 3D-printed grafts that match the exact shape of a patient’s bone damage, can speed up healing and shorten the time spent in surgery. </w:t>
      </w:r>
    </w:p>
    <w:p w14:paraId="52CBD650">
      <w:pPr>
        <w:spacing w:line="240" w:lineRule="auto"/>
        <w:jc w:val="both"/>
        <w:rPr>
          <w:rFonts w:ascii="Times New Roman" w:hAnsi="Times New Roman" w:cs="Times New Roman"/>
          <w:sz w:val="28"/>
          <w:szCs w:val="28"/>
        </w:rPr>
      </w:pPr>
      <w:r>
        <w:rPr>
          <w:rFonts w:ascii="Times New Roman" w:hAnsi="Times New Roman" w:cs="Times New Roman"/>
          <w:b/>
          <w:bCs/>
          <w:sz w:val="28"/>
          <w:szCs w:val="28"/>
        </w:rPr>
        <w:t>Conclusion:</w:t>
      </w:r>
      <w:r>
        <w:rPr>
          <w:rFonts w:ascii="Times New Roman" w:hAnsi="Times New Roman" w:cs="Times New Roman"/>
          <w:sz w:val="28"/>
          <w:szCs w:val="28"/>
        </w:rPr>
        <w:t xml:space="preserve">  These digital tools are not intended to replace our clinical judgment, but rather to sharpen it. They act as a bridge between complex data and the actual chairside treatment we provide. As we move forward, the true success of digital periodontics will be measured by how well we use this technology to make specialized care more accessible and, ultimately, less intimidating for our patients.</w:t>
      </w:r>
    </w:p>
    <w:p w14:paraId="1C041ACC">
      <w:pPr>
        <w:pStyle w:val="15"/>
        <w:jc w:val="both"/>
        <w:rPr>
          <w:sz w:val="28"/>
          <w:szCs w:val="28"/>
        </w:rPr>
      </w:pPr>
      <w:r>
        <w:rPr>
          <w:b/>
          <w:bCs/>
          <w:i w:val="0"/>
          <w:iCs w:val="0"/>
          <w:sz w:val="28"/>
          <w:szCs w:val="28"/>
        </w:rPr>
        <w:t>Keywords:</w:t>
      </w:r>
      <w:r>
        <w:rPr>
          <w:b/>
          <w:bCs/>
          <w:i w:val="0"/>
          <w:iCs w:val="0"/>
        </w:rPr>
        <w:t xml:space="preserve"> </w:t>
      </w:r>
      <w:r>
        <w:rPr>
          <w:sz w:val="28"/>
          <w:szCs w:val="28"/>
        </w:rPr>
        <w:t>Periodontics, Artificial Intelligence, 3D Printing, Bone Regeneration</w:t>
      </w:r>
    </w:p>
    <w:p w14:paraId="2D04BD7A">
      <w:pPr>
        <w:spacing w:line="240" w:lineRule="auto"/>
        <w:jc w:val="both"/>
        <w:rPr>
          <w:rFonts w:ascii="Times New Roman" w:hAnsi="Times New Roman" w:cs="Times New Roman"/>
          <w:b/>
          <w:bCs/>
          <w:sz w:val="28"/>
          <w:szCs w:val="28"/>
        </w:rPr>
      </w:pPr>
    </w:p>
    <w:p w14:paraId="69758CFF">
      <w:pPr>
        <w:pStyle w:val="15"/>
        <w:jc w:val="both"/>
        <w:rPr>
          <w:rFonts w:hint="default"/>
          <w:b/>
          <w:bCs/>
          <w:lang w:val="en-IN"/>
        </w:rPr>
      </w:pPr>
      <w:r>
        <w:rPr>
          <w:rFonts w:hint="default"/>
          <w:b/>
          <w:bCs/>
          <w:lang w:val="en-IN"/>
        </w:rPr>
        <w:t>INTRODUCTION</w:t>
      </w:r>
      <w:bookmarkStart w:id="0" w:name="_GoBack"/>
      <w:bookmarkEnd w:id="0"/>
    </w:p>
    <w:p w14:paraId="5508EABA">
      <w:pPr>
        <w:pStyle w:val="15"/>
        <w:jc w:val="both"/>
      </w:pPr>
      <w:r>
        <w:rPr>
          <w:lang w:val="en-US"/>
        </w:rPr>
        <w:t>Periodontal diseases are one of the most common long-term inflammatory conditions in the world, affecting about 20–50% of the population. It destroys the "periodontium"—the structure of tissue, ligaments, and bone that holds our teeth in place. Digital treatment planning is a major change in this field. It uses advanced imaging and AI to provide care made specifically for the individual.</w:t>
      </w:r>
      <w:r>
        <w:rPr>
          <w:vertAlign w:val="superscript"/>
          <w:lang w:val="en-US"/>
        </w:rPr>
        <w:t>1</w:t>
      </w:r>
      <w:r>
        <w:rPr>
          <w:lang w:val="en-US"/>
        </w:rPr>
        <w:t xml:space="preserve"> This is a big step up from traditional methods, which relied mostly on what a dentist could see during a quick exam. Over the last ten years, research has grown in areas like genetics and nanotechnology. The goal of this article is to explain how care is changing, show how digital tools are used today, and look at the future of dental health.</w:t>
      </w:r>
      <w:r>
        <w:rPr>
          <w:vertAlign w:val="superscript"/>
          <w:lang w:val="en-US"/>
        </w:rPr>
        <w:t>2</w:t>
      </w:r>
      <w:r>
        <w:rPr>
          <w:rFonts w:eastAsiaTheme="minorHAnsi"/>
          <w:kern w:val="2"/>
          <w:lang w:eastAsia="en-US"/>
          <w14:ligatures w14:val="standardContextual"/>
        </w:rPr>
        <w:t xml:space="preserve"> </w:t>
      </w:r>
      <w:r>
        <w:t>Today, the field is going through a "digital revolution." We are moving toward "Precision Periodontics," which means using high-tech tools to understand exactly what is happening under the gums of each specific patient. Instead of just treating everyone with the same general cleaning or surgery, we use digital scans, AI software, and even biological tests to create a plan that fits just one person.</w:t>
      </w:r>
      <w:r>
        <w:rPr>
          <w:vertAlign w:val="superscript"/>
        </w:rPr>
        <w:t>3,4</w:t>
      </w:r>
      <w:r>
        <w:t xml:space="preserve"> This not only makes our work more accurate but also makes it much easier to explain the problem to the patient so they actually follow through with the treatment.</w:t>
      </w:r>
    </w:p>
    <w:p w14:paraId="054B08C7">
      <w:pPr>
        <w:spacing w:line="240" w:lineRule="auto"/>
        <w:jc w:val="both"/>
        <w:rPr>
          <w:rFonts w:ascii="Times New Roman" w:hAnsi="Times New Roman" w:cs="Times New Roman"/>
          <w:b/>
          <w:bCs/>
          <w:sz w:val="28"/>
          <w:szCs w:val="36"/>
        </w:rPr>
      </w:pPr>
      <w:r>
        <w:rPr>
          <w:rFonts w:ascii="Times New Roman" w:hAnsi="Times New Roman" w:cs="Times New Roman"/>
          <w:b/>
          <w:bCs/>
          <w:sz w:val="28"/>
          <w:szCs w:val="36"/>
        </w:rPr>
        <w:t>Key Shifts in Periodontal Care</w:t>
      </w:r>
    </w:p>
    <w:p w14:paraId="56630299">
      <w:pPr>
        <w:pStyle w:val="15"/>
        <w:jc w:val="both"/>
      </w:pPr>
      <w:r>
        <w:t>Visual Assessment to Data-Driven Decisions</w:t>
      </w:r>
      <w:r>
        <w:rPr>
          <w:b/>
          <w:bCs/>
        </w:rPr>
        <w:t>:</w:t>
      </w:r>
      <w:r>
        <w:t xml:space="preserve"> Traditional diagnosis used to rely on just checking the area with a hand tool and looking for redness. Modern practice now uses hard facts—data from digital measurements, image analysis, and biological markers.</w:t>
      </w:r>
      <w:r>
        <w:rPr>
          <w:vertAlign w:val="superscript"/>
        </w:rPr>
        <w:t>5</w:t>
      </w:r>
      <w:r>
        <w:t xml:space="preserve"> This makes the assessment more objective and removes the risk of different dentists seeing the same problem differently(Figure1).</w:t>
      </w:r>
    </w:p>
    <w:p w14:paraId="434E7E3B">
      <w:pPr>
        <w:pStyle w:val="15"/>
        <w:jc w:val="center"/>
        <w:rPr>
          <w:rStyle w:val="16"/>
          <w:rFonts w:eastAsiaTheme="majorEastAsia"/>
        </w:rPr>
      </w:pPr>
      <w:r>
        <w:rPr>
          <w:sz w:val="28"/>
          <w:szCs w:val="28"/>
        </w:rPr>
        <w:drawing>
          <wp:inline distT="0" distB="0" distL="0" distR="0">
            <wp:extent cx="1524000" cy="1251585"/>
            <wp:effectExtent l="0" t="0" r="0" b="5715"/>
            <wp:docPr id="1267829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29369" name="Picture 1"/>
                    <pic:cNvPicPr>
                      <a:picLocks noChangeAspect="1"/>
                    </pic:cNvPicPr>
                  </pic:nvPicPr>
                  <pic:blipFill>
                    <a:blip r:embed="rId6"/>
                    <a:stretch>
                      <a:fillRect/>
                    </a:stretch>
                  </pic:blipFill>
                  <pic:spPr>
                    <a:xfrm>
                      <a:off x="0" y="0"/>
                      <a:ext cx="1524000" cy="1251594"/>
                    </a:xfrm>
                    <a:prstGeom prst="rect">
                      <a:avLst/>
                    </a:prstGeom>
                  </pic:spPr>
                </pic:pic>
              </a:graphicData>
            </a:graphic>
          </wp:inline>
        </w:drawing>
      </w:r>
    </w:p>
    <w:p w14:paraId="2DF009FA">
      <w:pPr>
        <w:pStyle w:val="15"/>
        <w:jc w:val="both"/>
        <w:rPr>
          <w:b/>
          <w:bCs/>
          <w:sz w:val="28"/>
          <w:szCs w:val="28"/>
        </w:rPr>
      </w:pPr>
      <w:r>
        <w:rPr>
          <w:rStyle w:val="16"/>
          <w:rFonts w:eastAsiaTheme="majorEastAsia"/>
          <w:b/>
          <w:bCs/>
        </w:rPr>
        <w:t>Figure 1.</w:t>
      </w:r>
      <w:r>
        <w:rPr>
          <w:b/>
          <w:bCs/>
        </w:rPr>
        <w:t xml:space="preserve"> Digital planning and visualization of dental implant placement using 3D imaging and radiographic assessment.</w:t>
      </w:r>
      <w:r>
        <w:rPr>
          <w:b/>
          <w:bCs/>
          <w:vertAlign w:val="superscript"/>
        </w:rPr>
        <w:t>15</w:t>
      </w:r>
    </w:p>
    <w:p w14:paraId="3440F6DA">
      <w:pPr>
        <w:pStyle w:val="15"/>
        <w:jc w:val="both"/>
      </w:pPr>
      <w:r>
        <w:t>2D Imaging to 3D Visualization</w:t>
      </w:r>
      <w:r>
        <w:rPr>
          <w:b/>
          <w:bCs/>
        </w:rPr>
        <w:t>:</w:t>
      </w:r>
      <w:r>
        <w:t xml:space="preserve"> X-rays have evolved from flat, 2D pictures to full 3D views. While old X-rays were helpful, they often hid the true extent of bone loss. 3D scans (CBCT) allow us to see bone damage from every angle.Generic Protocols to Personalized Plans</w:t>
      </w:r>
      <w:r>
        <w:rPr>
          <w:b/>
          <w:bCs/>
        </w:rPr>
        <w:t>:</w:t>
      </w:r>
      <w:r>
        <w:t xml:space="preserve"> The "one-size-fits-all" approach is over. Precision medicine allows us to tailor treatment to a patient’s specific traits. By looking at a patient's genetic profile and lifestyle risks, like smoking or diabetes, we can predict how they will heal and provide the right level of care from the start.</w:t>
      </w:r>
    </w:p>
    <w:p w14:paraId="0C03676B">
      <w:pPr>
        <w:pStyle w:val="15"/>
        <w:jc w:val="both"/>
        <w:rPr>
          <w:b/>
          <w:bCs/>
          <w:sz w:val="28"/>
          <w:szCs w:val="28"/>
        </w:rPr>
      </w:pPr>
    </w:p>
    <w:p w14:paraId="03B34CCD">
      <w:pPr>
        <w:pStyle w:val="15"/>
        <w:jc w:val="both"/>
        <w:rPr>
          <w:b/>
          <w:bCs/>
          <w:sz w:val="28"/>
          <w:szCs w:val="28"/>
        </w:rPr>
      </w:pPr>
    </w:p>
    <w:p w14:paraId="65CA51D0">
      <w:pPr>
        <w:pStyle w:val="15"/>
        <w:jc w:val="both"/>
        <w:rPr>
          <w:b/>
          <w:bCs/>
          <w:sz w:val="28"/>
          <w:szCs w:val="28"/>
        </w:rPr>
      </w:pPr>
    </w:p>
    <w:p w14:paraId="696B60E3">
      <w:pPr>
        <w:pStyle w:val="15"/>
        <w:jc w:val="both"/>
        <w:rPr>
          <w:b/>
          <w:bCs/>
          <w:sz w:val="28"/>
          <w:szCs w:val="28"/>
        </w:rPr>
      </w:pPr>
      <w:r>
        <w:rPr>
          <w:b/>
          <w:bCs/>
          <w:sz w:val="28"/>
          <w:szCs w:val="28"/>
        </w:rPr>
        <w:t>CLINICAL IMPLICATIONS</w:t>
      </w:r>
    </w:p>
    <w:p w14:paraId="3DD9C08A">
      <w:pPr>
        <w:pStyle w:val="15"/>
        <w:jc w:val="both"/>
      </w:pPr>
      <w:r>
        <w:rPr>
          <w:b/>
          <w:bCs/>
        </w:rPr>
        <w:t>AI Software and Diagnostics</w:t>
      </w:r>
    </w:p>
    <w:p w14:paraId="6169FEA6">
      <w:pPr>
        <w:pStyle w:val="15"/>
        <w:jc w:val="both"/>
      </w:pPr>
      <w:r>
        <w:t>In many Indian clinics today, we are starting to see the practical use of AI and laser tools that make our jobs much faster. Diagnocat CBCT software (Figure2) is increasingly used in periodontics for early detection of periodontal disease, automated bone loss measurement, and enhanced patient communication through clear 3D visualizations. Its AI-driven analysis supports clinicians in diagnosis, treatment planning, and monitoring disease progression.</w:t>
      </w:r>
      <w:r>
        <w:rPr>
          <w:vertAlign w:val="superscript"/>
        </w:rPr>
        <w:t>6</w:t>
      </w:r>
      <w:r>
        <w:t>Vatech AI (EzDent-i / Ez3D-i)-Many Indian practices use Vatech machines. Their software now uses AI to help clean up 3D images and automatically highlight areas of low bone density. It makes it much easier for a student or a junior doctor to spot early bone loss. Emerging Local Tools-New Indian platforms like Muskan.ai or EasyClinic are being developed specifically for our market.</w:t>
      </w:r>
      <w:r>
        <w:rPr>
          <w:vertAlign w:val="superscript"/>
        </w:rPr>
        <w:t>7</w:t>
      </w:r>
      <w:r>
        <w:t xml:space="preserve"> They help in reading OPGs (panoramic X-rays) by color-coding the bone loss so the patient can clearly see where the problem is.</w:t>
      </w:r>
    </w:p>
    <w:p w14:paraId="487FF112">
      <w:pPr>
        <w:pStyle w:val="15"/>
        <w:jc w:val="center"/>
        <w:rPr>
          <w:sz w:val="28"/>
          <w:szCs w:val="28"/>
        </w:rPr>
      </w:pPr>
      <w:r>
        <w:rPr>
          <w:sz w:val="28"/>
          <w:szCs w:val="28"/>
        </w:rPr>
        <w:drawing>
          <wp:inline distT="0" distB="0" distL="0" distR="0">
            <wp:extent cx="2567940" cy="1567180"/>
            <wp:effectExtent l="0" t="0" r="3810" b="0"/>
            <wp:docPr id="2069507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0792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89418" cy="1580641"/>
                    </a:xfrm>
                    <a:prstGeom prst="rect">
                      <a:avLst/>
                    </a:prstGeom>
                    <a:noFill/>
                  </pic:spPr>
                </pic:pic>
              </a:graphicData>
            </a:graphic>
          </wp:inline>
        </w:drawing>
      </w:r>
    </w:p>
    <w:p w14:paraId="62DB9587">
      <w:pPr>
        <w:pStyle w:val="15"/>
        <w:jc w:val="both"/>
        <w:rPr>
          <w:b/>
          <w:bCs/>
        </w:rPr>
      </w:pPr>
      <w:r>
        <w:rPr>
          <w:b/>
          <w:bCs/>
        </w:rPr>
        <w:t>Figure2.</w:t>
      </w:r>
      <w:r>
        <w:rPr>
          <w:rFonts w:eastAsiaTheme="minorHAnsi"/>
          <w:b/>
          <w:bCs/>
          <w:kern w:val="2"/>
          <w:sz w:val="22"/>
          <w:szCs w:val="22"/>
          <w:lang w:eastAsia="en-US"/>
          <w14:ligatures w14:val="standardContextual"/>
        </w:rPr>
        <w:t xml:space="preserve"> </w:t>
      </w:r>
      <w:r>
        <w:rPr>
          <w:b/>
          <w:bCs/>
        </w:rPr>
        <w:t>A 3D skull model showing craniofacial anatomy, like Diagnocat’s AI dental imaging.</w:t>
      </w:r>
      <w:r>
        <w:rPr>
          <w:b/>
          <w:bCs/>
          <w:vertAlign w:val="superscript"/>
        </w:rPr>
        <w:t>16</w:t>
      </w:r>
    </w:p>
    <w:p w14:paraId="3E575D53">
      <w:pPr>
        <w:spacing w:line="240" w:lineRule="auto"/>
        <w:jc w:val="both"/>
        <w:rPr>
          <w:rFonts w:ascii="Times New Roman" w:hAnsi="Times New Roman" w:cs="Times New Roman"/>
          <w:b/>
          <w:bCs/>
          <w:szCs w:val="32"/>
        </w:rPr>
      </w:pPr>
      <w:r>
        <w:rPr>
          <w:rFonts w:ascii="Times New Roman" w:hAnsi="Times New Roman" w:cs="Times New Roman"/>
          <w:b/>
          <w:bCs/>
          <w:szCs w:val="32"/>
        </w:rPr>
        <w:t>Advanced Diagnostic Tools</w:t>
      </w:r>
    </w:p>
    <w:p w14:paraId="277AF034">
      <w:pPr>
        <w:pStyle w:val="15"/>
        <w:jc w:val="both"/>
        <w:rPr>
          <w:sz w:val="28"/>
          <w:szCs w:val="28"/>
        </w:rPr>
      </w:pPr>
      <w:r>
        <w:rPr>
          <w:rStyle w:val="16"/>
          <w:rFonts w:eastAsiaTheme="majorEastAsia"/>
          <w:b w:val="0"/>
          <w:bCs w:val="0"/>
        </w:rPr>
        <w:t>4th Generation Probes (3D Mapping):</w:t>
      </w:r>
      <w:r>
        <w:t xml:space="preserve"> These probes, like the Watts TLP, reduce human error by creating a continuous 3D map of the gum pocket instead of single-point measurements.</w:t>
      </w:r>
      <w:r>
        <w:rPr>
          <w:vertAlign w:val="superscript"/>
        </w:rPr>
        <w:t>8</w:t>
      </w:r>
      <w:r>
        <w:t xml:space="preserve"> It’s like recording a video instead of taking a snapshot—giving a fuller picture of the pocket’s shape. </w:t>
      </w:r>
      <w:r>
        <w:rPr>
          <w:rStyle w:val="16"/>
          <w:rFonts w:eastAsiaTheme="majorEastAsia"/>
          <w:b w:val="0"/>
          <w:bCs w:val="0"/>
        </w:rPr>
        <w:t>5th Generation Probes (Ultrasound):</w:t>
      </w:r>
      <w:r>
        <w:t xml:space="preserve"> Using NASA-developed ultrasound tech, these probes are non-invasive. They map attachment levels and bone without touching tissue, eliminating pain and guesswork. The digital 3D data can be saved and compared over time, though the system is costly and requires training. Less Patient Anxiety</w:t>
      </w:r>
      <w:r>
        <w:rPr>
          <w:b/>
          <w:bCs/>
        </w:rPr>
        <w:t>:</w:t>
      </w:r>
      <w:r>
        <w:t xml:space="preserve"> If we tell a patient we are going to "scan" their gums with ultrasound (5th gen) instead of "poking" them with a needle-like probe, they are much more likely to stay calm and come back for follow-up appointments.</w:t>
      </w:r>
      <w:r>
        <w:rPr>
          <w:vertAlign w:val="superscript"/>
        </w:rPr>
        <w:t xml:space="preserve">9 </w:t>
      </w:r>
      <w:r>
        <w:t xml:space="preserve">Visual Proof: Because these tools produce 3D images on a screen, we can actually </w:t>
      </w:r>
      <w:r>
        <w:rPr>
          <w:i/>
          <w:iCs/>
        </w:rPr>
        <w:t>show</w:t>
      </w:r>
      <w:r>
        <w:t xml:space="preserve"> the patient the "valley" of bone loss. It makes the disease real for them, which is half the battle in getting them to improve their home care.</w:t>
      </w:r>
      <w:r>
        <w:rPr>
          <w:rFonts w:eastAsia="SimSun"/>
          <w:szCs w:val="32"/>
          <w:lang w:val="en-US" w:eastAsia="zh-CN"/>
        </w:rPr>
        <w:t>Microbial Analysis and Biomarkers,</w:t>
      </w:r>
      <w:r>
        <w:rPr>
          <w:rFonts w:eastAsia="SimSun"/>
          <w:szCs w:val="32"/>
          <w:lang w:eastAsia="zh-CN"/>
        </w:rPr>
        <w:t xml:space="preserve"> in a clinical setting, microbial and biomarker analysis helps us move beyond just looking at attachment loss to actually seeing the biological activity of the disease.</w:t>
      </w:r>
      <w:r>
        <w:rPr>
          <w:rFonts w:eastAsia="SimSun"/>
          <w:szCs w:val="32"/>
          <w:vertAlign w:val="superscript"/>
          <w:lang w:eastAsia="zh-CN"/>
        </w:rPr>
        <w:t xml:space="preserve">14 </w:t>
      </w:r>
      <w:r>
        <w:rPr>
          <w:rFonts w:eastAsia="SimSun"/>
          <w:szCs w:val="32"/>
          <w:lang w:eastAsia="zh-CN"/>
        </w:rPr>
        <w:t>By identifying exactly which perio pathogens are present, we can stop just guessing with antibiotics and instead use targeted therapy, which is a huge help for managing aggressive cases. Clinically, these biomarkers are usually grouped into four main areas: Proteins, like matrix metalloproteinases (MMPs), which act as direct signs that tissue and collagen are actively breaking down; Genetics, which show if a patient is naturally predisposed to high levels of inflammation; Microbial profiles, which pinpoint the specific bacterial load causing the infection; and Volatile Chemicals, like hydrogen sulfide, which give us a real-time look at the metabolic activity of bacteria inside the pocket.</w:t>
      </w:r>
      <w:r>
        <w:rPr>
          <w:rFonts w:eastAsia="SimSun"/>
          <w:szCs w:val="32"/>
          <w:vertAlign w:val="superscript"/>
          <w:lang w:eastAsia="zh-CN"/>
        </w:rPr>
        <w:t>11,12</w:t>
      </w:r>
      <w:r>
        <w:rPr>
          <w:rFonts w:eastAsia="SimSun"/>
          <w:szCs w:val="32"/>
          <w:lang w:eastAsia="zh-CN"/>
        </w:rPr>
        <w:t xml:space="preserve"> Integrating all this data lets us create a much more precise risk assessment and a treatment plan that is actually tailored to the patient’s own biological makeup.</w:t>
      </w:r>
    </w:p>
    <w:p w14:paraId="5219BE7C">
      <w:pPr>
        <w:widowControl w:val="0"/>
        <w:spacing w:line="240" w:lineRule="auto"/>
        <w:jc w:val="both"/>
        <w:rPr>
          <w:rFonts w:ascii="Times New Roman" w:hAnsi="Times New Roman" w:eastAsia="SimSun" w:cs="Times New Roman"/>
          <w:b/>
          <w:bCs/>
          <w:sz w:val="28"/>
          <w:szCs w:val="36"/>
          <w:lang w:eastAsia="zh-CN"/>
          <w14:ligatures w14:val="none"/>
        </w:rPr>
      </w:pPr>
      <w:r>
        <w:rPr>
          <w:rFonts w:ascii="Times New Roman" w:hAnsi="Times New Roman" w:eastAsia="SimSun" w:cs="Times New Roman"/>
          <w:b/>
          <w:bCs/>
          <w:sz w:val="28"/>
          <w:szCs w:val="36"/>
          <w:lang w:eastAsia="zh-CN"/>
          <w14:ligatures w14:val="none"/>
        </w:rPr>
        <w:t>Precision Periodontics Workflow</w:t>
      </w:r>
    </w:p>
    <w:p w14:paraId="201E75D6">
      <w:pPr>
        <w:widowControl w:val="0"/>
        <w:spacing w:line="240" w:lineRule="auto"/>
        <w:jc w:val="both"/>
        <w:rPr>
          <w:rFonts w:ascii="Times New Roman" w:hAnsi="Times New Roman" w:eastAsia="SimSun" w:cs="Times New Roman"/>
          <w:szCs w:val="32"/>
          <w:lang w:eastAsia="zh-CN"/>
          <w14:ligatures w14:val="none"/>
        </w:rPr>
      </w:pPr>
      <w:r>
        <w:rPr>
          <w:rFonts w:ascii="Times New Roman" w:hAnsi="Times New Roman" w:eastAsia="SimSun" w:cs="Times New Roman"/>
          <w:szCs w:val="32"/>
          <w:lang w:eastAsia="zh-CN"/>
          <w14:ligatures w14:val="none"/>
        </w:rPr>
        <w:t>The modern precision periodontics workflow is designed to combine traditional clinical methods with advanced digital tools, making diagnosis and treatment far more accurate. It begins with data collection, where clinicians measure pocket depths and check for bleeding to establish a baseline of gum health. This is followed by digital imaging, using 3D scans to create a detailed map of the bone structure, which helps visualize areas of concern more clearly than conventional X-rays. Next comes biomarker analysis, where saliva or crevicular fluid is tested for signs of inflammation, giving insight into the patient’s biological response. All of this information is then processed through AI analytics, which can predict whether a tooth is likely to be saved and highlight potential risks. A risk assessment is carried out, generating a score that considers the patient’s overall health, lifestyle, and habits, ensuring that treatment is not just tooth-focused but patient-focused. Finally, a personalized plan is developed, tailoring treatment and follow-up schedules to the individual’s needs, making care more precise, proactive, and effective.</w:t>
      </w:r>
    </w:p>
    <w:p w14:paraId="30F75E75">
      <w:pPr>
        <w:widowControl w:val="0"/>
        <w:spacing w:line="240" w:lineRule="auto"/>
        <w:jc w:val="both"/>
        <w:rPr>
          <w:rFonts w:ascii="Times New Roman" w:hAnsi="Times New Roman" w:eastAsia="SimSun" w:cs="Times New Roman"/>
          <w:sz w:val="28"/>
          <w:szCs w:val="36"/>
          <w:lang w:eastAsia="zh-CN"/>
          <w14:ligatures w14:val="none"/>
        </w:rPr>
      </w:pPr>
    </w:p>
    <w:p w14:paraId="18F7DB5C">
      <w:pPr>
        <w:widowControl w:val="0"/>
        <w:spacing w:line="240" w:lineRule="auto"/>
        <w:jc w:val="both"/>
        <w:rPr>
          <w:rFonts w:ascii="Times New Roman" w:hAnsi="Times New Roman" w:eastAsia="SimSun" w:cs="Times New Roman"/>
          <w:b/>
          <w:bCs/>
          <w:sz w:val="28"/>
          <w:szCs w:val="36"/>
          <w:lang w:val="en-US" w:eastAsia="zh-CN"/>
          <w14:ligatures w14:val="none"/>
        </w:rPr>
      </w:pPr>
      <w:r>
        <w:rPr>
          <w:rFonts w:ascii="Times New Roman" w:hAnsi="Times New Roman" w:eastAsia="SimSun" w:cs="Times New Roman"/>
          <w:b/>
          <w:bCs/>
          <w:sz w:val="28"/>
          <w:szCs w:val="36"/>
          <w:lang w:val="en-US" w:eastAsia="zh-CN"/>
          <w14:ligatures w14:val="none"/>
        </w:rPr>
        <w:t>Benefits of Digital Periodontics</w:t>
      </w:r>
    </w:p>
    <w:p w14:paraId="1C3748CF">
      <w:pPr>
        <w:pStyle w:val="15"/>
        <w:jc w:val="both"/>
        <w:rPr>
          <w:sz w:val="28"/>
          <w:szCs w:val="28"/>
        </w:rPr>
      </w:pPr>
      <w:r>
        <w:t xml:space="preserve">In modern periodontics, digital tools have really changed the way we diagnose and treat patients. </w:t>
      </w:r>
      <w:r>
        <w:rPr>
          <w:rStyle w:val="16"/>
          <w:rFonts w:eastAsiaTheme="majorEastAsia"/>
          <w:b w:val="0"/>
          <w:bCs w:val="0"/>
        </w:rPr>
        <w:t>Early intervention</w:t>
      </w:r>
      <w:r>
        <w:t xml:space="preserve"> is possible because AI can pick up bone density changes as small as 5–10%, which means we can act before damage even shows up on X-rays. For </w:t>
      </w:r>
      <w:r>
        <w:rPr>
          <w:rStyle w:val="16"/>
          <w:rFonts w:eastAsiaTheme="majorEastAsia"/>
          <w:b w:val="0"/>
          <w:bCs w:val="0"/>
        </w:rPr>
        <w:t>surgical predictability</w:t>
      </w:r>
      <w:r>
        <w:t xml:space="preserve">, digital guides help plan implants and regenerative procedures with great accuracy, leading to smaller surgeries, less chair time, and faster recovery. </w:t>
      </w:r>
      <w:r>
        <w:rPr>
          <w:rStyle w:val="16"/>
          <w:rFonts w:eastAsiaTheme="majorEastAsia"/>
          <w:b w:val="0"/>
          <w:bCs w:val="0"/>
        </w:rPr>
        <w:t>Automated documentation</w:t>
      </w:r>
      <w:r>
        <w:t xml:space="preserve"> tools, like voice-activated charting systems, make record-keeping hands-free and more reliable. One of the biggest challenges is patient communication, since periodontal disease is often “silent.” With </w:t>
      </w:r>
      <w:r>
        <w:rPr>
          <w:rStyle w:val="16"/>
          <w:rFonts w:eastAsiaTheme="majorEastAsia"/>
          <w:b w:val="0"/>
          <w:bCs w:val="0"/>
        </w:rPr>
        <w:t>visualization tools</w:t>
      </w:r>
      <w:r>
        <w:t xml:space="preserve"> like intraoral scanners and 3D color-coded maps, patients can actually see their own gum recession or bone loss. This makes the disease real to them and increases treatment acceptance.</w:t>
      </w:r>
      <w:r>
        <w:rPr>
          <w:vertAlign w:val="superscript"/>
        </w:rPr>
        <w:t>10,13</w:t>
      </w:r>
      <w:r>
        <w:t xml:space="preserve"> For </w:t>
      </w:r>
      <w:r>
        <w:rPr>
          <w:rStyle w:val="16"/>
          <w:rFonts w:eastAsiaTheme="majorEastAsia"/>
          <w:b w:val="0"/>
          <w:bCs w:val="0"/>
        </w:rPr>
        <w:t>long-term monitoring</w:t>
      </w:r>
      <w:r>
        <w:t xml:space="preserve">, digital overlays allow us to compare scans over months or years, showing tissue changes down to the millimeter removing guesswork from follow-ups. Digital workflows also support </w:t>
      </w:r>
      <w:r>
        <w:rPr>
          <w:rStyle w:val="16"/>
          <w:rFonts w:eastAsiaTheme="majorEastAsia"/>
          <w:b w:val="0"/>
          <w:bCs w:val="0"/>
        </w:rPr>
        <w:t>minimally invasive approaches</w:t>
      </w:r>
      <w:r>
        <w:rPr>
          <w:b/>
          <w:bCs/>
        </w:rPr>
        <w:t>,</w:t>
      </w:r>
      <w:r>
        <w:t xml:space="preserve"> since imaging and guides act like a GPS for surgery. This means smaller incisions, less trauma, and quicker healing, which helps reduce the fear around periodontal surgery. Finally, </w:t>
      </w:r>
      <w:r>
        <w:rPr>
          <w:rStyle w:val="16"/>
          <w:rFonts w:eastAsiaTheme="majorEastAsia"/>
          <w:b w:val="0"/>
          <w:bCs w:val="0"/>
        </w:rPr>
        <w:t>interdisciplinary collaboration</w:t>
      </w:r>
      <w:r>
        <w:t xml:space="preserve"> becomes smoother: instead of mailing models or unclear X-rays, specialists can share precise 3D files, ensuring everyone works from the same data and improving overall patient care.</w:t>
      </w:r>
    </w:p>
    <w:p w14:paraId="1B58E779">
      <w:pPr>
        <w:pStyle w:val="15"/>
        <w:jc w:val="both"/>
        <w:rPr>
          <w:b/>
          <w:bCs/>
          <w:sz w:val="28"/>
          <w:szCs w:val="28"/>
        </w:rPr>
      </w:pPr>
      <w:r>
        <w:rPr>
          <w:b/>
          <w:bCs/>
          <w:sz w:val="28"/>
          <w:szCs w:val="28"/>
        </w:rPr>
        <w:t>DISCUSSION</w:t>
      </w:r>
    </w:p>
    <w:p w14:paraId="4A368D80">
      <w:pPr>
        <w:pStyle w:val="15"/>
        <w:jc w:val="both"/>
      </w:pPr>
      <w:r>
        <w:t xml:space="preserve">The transition toward digital periodontics represents a fundamental shift in how we approach gum disease. It is moving the specialty from a "detect and repair" model to one that is focused on precision and proactive care. For a long time, the field was limited by the diagnostic tools available. While manual probing and 2D X-rays are foundational skills we learn as students, they do have inherent limitations—such as the difficulty of visualizing complex 3D bone defects on a flat image. The integration of 3D imaging, AI software, and biomarkers is finally addressing these gaps. One of the most significant benefits of these advancements is the reduction of clinical subjectivity. In a busy clinical setting, it is common for different practitioners to record slightly different probe readings on the same patient due to variations in pressure or angulation. By using 4th and 5th generation probes or AI software like </w:t>
      </w:r>
      <w:r>
        <w:rPr>
          <w:i/>
          <w:iCs/>
        </w:rPr>
        <w:t xml:space="preserve">Vatech’s </w:t>
      </w:r>
      <w:r>
        <w:t>Ez3D-i, we can establish a much more consistent and objective "gold standard" for our data. This objectivity is vital not just for the initial diagnosis, but for long-term monitoring. Being able to overlay digital scans from different time points allows us to see exactly how the tissue has changed, which removes much of the uncertainty from the follow-up process.</w:t>
      </w:r>
    </w:p>
    <w:p w14:paraId="630F0BEC">
      <w:pPr>
        <w:pStyle w:val="15"/>
        <w:jc w:val="both"/>
      </w:pPr>
      <w:r>
        <w:t>It is also interesting to see how AI software is being adapted specifically for the Indian dental market. Given the high volume of patients we see, tools like Muskan.ai that help automate OPG analysis provide a significant advantage for junior doctors and residents. They act as a reliable "second pair of eyes," highlighting subtle bone loss that might be overlooked during a demanding shift. However, it is important to remember that these tools are intended to support our clinical judgment rather than replace it. The "Precision Periodontics Workflow" still requires the clinician to take the AI’s data and apply it to the patient’s specific lifestyle and medical history. Perhaps the most practical clinical benefit is how this technology changes patient communication. Periodontal disease is often a "silent" condition, and it can be difficult to convince a patient of the need for treatment when they are not in pain. When a clinician can present a 3D model of the patient’s own mouth on a screen with bone loss clearly highlighted, the disease becomes a visible reality. This visual evidence acts as a powerful tool for patient education, leading to better treatment acceptance and improved compliance with home care. Ultimately, these digital tools serve as a bridge, taking complex data and turning it into something actionable at the chairside. Looking ahead, the success of digital periodontics will be measured by how well we use this technology to make specialized care more predictable and less intimidating for our patients. For our generation of dentists, embracing these digital workflows is an essential step in providing the highest standard of personalized care.</w:t>
      </w:r>
    </w:p>
    <w:p w14:paraId="266F0508">
      <w:pPr>
        <w:pStyle w:val="15"/>
        <w:jc w:val="both"/>
        <w:rPr>
          <w:b/>
          <w:bCs/>
          <w:sz w:val="28"/>
          <w:szCs w:val="28"/>
        </w:rPr>
      </w:pPr>
      <w:r>
        <w:rPr>
          <w:b/>
          <w:bCs/>
          <w:sz w:val="28"/>
          <w:szCs w:val="28"/>
        </w:rPr>
        <w:t>CONCLUSION</w:t>
      </w:r>
    </w:p>
    <w:p w14:paraId="5F5E6E4E">
      <w:pPr>
        <w:pStyle w:val="15"/>
        <w:jc w:val="both"/>
      </w:pPr>
      <w:r>
        <w:t>In conclusion, digital treatment planning represents a fundamental evolution in how we understand and manage periodontal disease. By moving away from generalized treatment protocols and embracing data-driven precision, we can now offer care that is truly tailored to the unique biological profile of each patient. While hurdles like high equipment costs and the learning curve for new software remain, the clinical benefits-such as increased diagnostic accuracy and more predictable surgical outcomes-far outweigh these challenges. Ultimately, these digital tools are not intended to replace our clinical judgment, but rather to sharpen it. They act as a bridge between complex biological data and the actual chairside treatment we provide. As we move forward, the true success of digital periodontics will be measured by how well we use this technology to make specialized care more accessible, transparent, and less intimidating for our patients. For the next generation of periodontists, integrating these workflows is the key to providing more precise, proactive, and patient-centered care.</w:t>
      </w:r>
    </w:p>
    <w:p w14:paraId="28C7D240">
      <w:pPr>
        <w:pStyle w:val="15"/>
        <w:jc w:val="both"/>
      </w:pPr>
    </w:p>
    <w:p w14:paraId="22CA4073">
      <w:pPr>
        <w:pStyle w:val="15"/>
        <w:jc w:val="both"/>
        <w:rPr>
          <w:sz w:val="28"/>
          <w:szCs w:val="28"/>
        </w:rPr>
      </w:pPr>
    </w:p>
    <w:p w14:paraId="626F56ED">
      <w:pPr>
        <w:pStyle w:val="15"/>
        <w:jc w:val="both"/>
        <w:rPr>
          <w:b/>
          <w:bCs/>
          <w:sz w:val="28"/>
          <w:szCs w:val="28"/>
        </w:rPr>
      </w:pPr>
      <w:r>
        <w:rPr>
          <w:b/>
          <w:bCs/>
          <w:sz w:val="28"/>
          <w:szCs w:val="28"/>
        </w:rPr>
        <w:t>REFERENCES</w:t>
      </w:r>
    </w:p>
    <w:p w14:paraId="6466AE38">
      <w:pPr>
        <w:pStyle w:val="15"/>
        <w:jc w:val="both"/>
      </w:pPr>
      <w:r>
        <w:t>1.</w:t>
      </w:r>
      <w:r>
        <w:tab/>
      </w:r>
      <w:r>
        <w:t>Bizzarro S, Loos BG. The future of periodontology: from standard to precision medicine. Periodontol 2000. 2023;91(1):241-255.</w:t>
      </w:r>
    </w:p>
    <w:p w14:paraId="0EB219A3">
      <w:pPr>
        <w:pStyle w:val="15"/>
        <w:jc w:val="both"/>
      </w:pPr>
      <w:r>
        <w:t>2.</w:t>
      </w:r>
      <w:r>
        <w:tab/>
      </w:r>
      <w:r>
        <w:t>Kaur R, Gupta S. Artificial intelligence in Indian dentistry: current trends and future prospects. J Indian Soc Periodontol. 2024;28(1):15-22.</w:t>
      </w:r>
    </w:p>
    <w:p w14:paraId="282473AC">
      <w:pPr>
        <w:pStyle w:val="15"/>
        <w:jc w:val="both"/>
      </w:pPr>
      <w:r>
        <w:t>3.</w:t>
      </w:r>
      <w:r>
        <w:tab/>
      </w:r>
      <w:r>
        <w:t>Bartold PM. Lifestyle and periodontitis: The role of personalized medicine. Periodontol 2000. 2018;78(1):7-10.</w:t>
      </w:r>
    </w:p>
    <w:p w14:paraId="1976575E">
      <w:pPr>
        <w:pStyle w:val="15"/>
        <w:jc w:val="both"/>
      </w:pPr>
      <w:r>
        <w:t>4.</w:t>
      </w:r>
      <w:r>
        <w:tab/>
      </w:r>
      <w:r>
        <w:t>Schwendicke F, Samek W, Krois J. Artificial intelligence in dentistry: chances and challenges. J Dent Res. 2020;99(7):769-774.</w:t>
      </w:r>
    </w:p>
    <w:p w14:paraId="6C02685E">
      <w:pPr>
        <w:pStyle w:val="15"/>
        <w:jc w:val="both"/>
      </w:pPr>
      <w:r>
        <w:t>5.</w:t>
      </w:r>
      <w:r>
        <w:tab/>
      </w:r>
      <w:r>
        <w:t>Hindman BW, Shaddox LM. Biomarkers of periodontal disease: a review of the literature. J Periodontal Res. 2022;57(1):1-14.</w:t>
      </w:r>
    </w:p>
    <w:p w14:paraId="336AD955">
      <w:pPr>
        <w:pStyle w:val="15"/>
        <w:jc w:val="both"/>
      </w:pPr>
      <w:r>
        <w:t>6.</w:t>
      </w:r>
      <w:r>
        <w:tab/>
      </w:r>
      <w:r>
        <w:t xml:space="preserve">Mema H, Gaxhja E, Alicka Y, Gugu M, Topi S, Giannoni M, Pietropaoli D, Altamura S. Application of AI-driven software Diagnocat in managing diagnostic imaging in dentistry: A retrospective study. </w:t>
      </w:r>
      <w:r>
        <w:rPr>
          <w:i/>
          <w:iCs/>
        </w:rPr>
        <w:t>Appl Sci</w:t>
      </w:r>
      <w:r>
        <w:t>. 2025;15(17):9790. doi:10.3390/app15179790</w:t>
      </w:r>
    </w:p>
    <w:p w14:paraId="25205D09">
      <w:pPr>
        <w:pStyle w:val="15"/>
        <w:jc w:val="both"/>
      </w:pPr>
      <w:r>
        <w:t>7.</w:t>
      </w:r>
      <w:r>
        <w:tab/>
      </w:r>
      <w:r>
        <w:t>Jain A, Singh G. Digital workflows and 3D imaging in periodontal regenerative surgery: clinical implications. J Clin Exp Dent. 2025;17(2):145-152.</w:t>
      </w:r>
    </w:p>
    <w:p w14:paraId="659DDCDD">
      <w:pPr>
        <w:pStyle w:val="15"/>
        <w:jc w:val="both"/>
      </w:pPr>
      <w:r>
        <w:t>8.</w:t>
      </w:r>
      <w:r>
        <w:tab/>
      </w:r>
      <w:r>
        <w:t>Watts T, Lowenberg WM. Fourth-generation electronic probes: a new era of pocket mapping. J Clin Periodontol. 2022;49(6):550-558.</w:t>
      </w:r>
    </w:p>
    <w:p w14:paraId="742EE5C5">
      <w:pPr>
        <w:pStyle w:val="15"/>
        <w:jc w:val="both"/>
      </w:pPr>
      <w:r>
        <w:t>9.</w:t>
      </w:r>
      <w:r>
        <w:tab/>
      </w:r>
      <w:r>
        <w:t>Mohanty S, et al. Cost-benefit analysis of AI integration in urban Indian dental practices. Indian J Dent Res. 2024;35(3):301-309.</w:t>
      </w:r>
    </w:p>
    <w:p w14:paraId="4631AE74">
      <w:pPr>
        <w:pStyle w:val="15"/>
        <w:jc w:val="both"/>
      </w:pPr>
      <w:r>
        <w:t>10.</w:t>
      </w:r>
      <w:r>
        <w:tab/>
      </w:r>
      <w:r>
        <w:t>Teles R, et al. Salivary biomarkers in the diagnosis of periodontal diseases: the move toward chairside testing. Periodontol 2000. 2016;70(1):92-111.</w:t>
      </w:r>
    </w:p>
    <w:p w14:paraId="7AFE6397">
      <w:pPr>
        <w:pStyle w:val="15"/>
        <w:jc w:val="both"/>
      </w:pPr>
      <w:r>
        <w:t>11.</w:t>
      </w:r>
      <w:r>
        <w:tab/>
      </w:r>
      <w:r>
        <w:t>Macho-Mano M, et al. Artificial intelligence in periodontics: A scoping review of its current uses and future directions. J Periodontal Res. 2024;59(2):185-198.</w:t>
      </w:r>
    </w:p>
    <w:p w14:paraId="0C3F94B1">
      <w:pPr>
        <w:pStyle w:val="15"/>
        <w:jc w:val="both"/>
      </w:pPr>
      <w:r>
        <w:t>12.</w:t>
      </w:r>
      <w:r>
        <w:tab/>
      </w:r>
      <w:r>
        <w:t>Kumar A, et al. Precision periodontics: Integrating digital workflows and biological markers in modern practice. J Indian Soc Periodontol. 2025;29(2):112-119.</w:t>
      </w:r>
    </w:p>
    <w:p w14:paraId="7E37EF16">
      <w:pPr>
        <w:pStyle w:val="15"/>
        <w:jc w:val="both"/>
      </w:pPr>
      <w:r>
        <w:t>13.</w:t>
      </w:r>
      <w:r>
        <w:tab/>
      </w:r>
      <w:r>
        <w:t>Varghese SS, et al. CBCT-based 3D evaluation of periodontal bone defects: A comparative study in the Indian population. J Clin Diagn Res. 2023;17(5):22-28.</w:t>
      </w:r>
    </w:p>
    <w:p w14:paraId="42DC2650">
      <w:pPr>
        <w:pStyle w:val="15"/>
        <w:jc w:val="both"/>
      </w:pPr>
      <w:r>
        <w:t>14.</w:t>
      </w:r>
      <w:r>
        <w:tab/>
      </w:r>
      <w:r>
        <w:t>Gomes-Filho IS, et al. Personalized periodontics: The role of systemic health and genetics in treatment planning. Periodontol 2000. 2022;90(1):154-172.</w:t>
      </w:r>
    </w:p>
    <w:p w14:paraId="12B6A6B4">
      <w:pPr>
        <w:pStyle w:val="15"/>
        <w:jc w:val="both"/>
      </w:pPr>
      <w:r>
        <w:t>15.</w:t>
      </w:r>
      <w:r>
        <w:tab/>
      </w:r>
      <w:r>
        <w:t>Amsterdam Dental Group. (n.d.). Minimally invasive dental implants. Retrieved March 17, 2026, from https://amsterdamdentalgroup.com/dental-implants</w:t>
      </w:r>
    </w:p>
    <w:p w14:paraId="6A690247">
      <w:pPr>
        <w:pStyle w:val="15"/>
        <w:jc w:val="both"/>
      </w:pPr>
      <w:r>
        <w:t>16.</w:t>
      </w:r>
      <w:r>
        <w:tab/>
      </w:r>
      <w:r>
        <w:t xml:space="preserve">Standring S, editor. </w:t>
      </w:r>
      <w:r>
        <w:rPr>
          <w:rStyle w:val="13"/>
          <w:rFonts w:eastAsiaTheme="majorEastAsia"/>
          <w:i w:val="0"/>
          <w:iCs w:val="0"/>
        </w:rPr>
        <w:t>Gray’s Anatomy: The Anatomical Basis of Clinical Practice</w:t>
      </w:r>
      <w:r>
        <w:rPr>
          <w:i w:val="0"/>
          <w:iCs w:val="0"/>
        </w:rPr>
        <w:t>.</w:t>
      </w:r>
      <w:r>
        <w:t xml:space="preserve"> 42nd ed. London: Elsevier; 2021.</w:t>
      </w:r>
    </w:p>
    <w:p w14:paraId="135EA710">
      <w:pPr>
        <w:pStyle w:val="15"/>
        <w:jc w:val="both"/>
        <w:rPr>
          <w:sz w:val="28"/>
          <w:szCs w:val="28"/>
        </w:rPr>
      </w:pPr>
    </w:p>
    <w:p w14:paraId="453C9504">
      <w:pPr>
        <w:pStyle w:val="15"/>
        <w:jc w:val="both"/>
        <w:rPr>
          <w:sz w:val="28"/>
          <w:szCs w:val="28"/>
        </w:rPr>
      </w:pPr>
    </w:p>
    <w:p w14:paraId="61893A5A">
      <w:pPr>
        <w:widowControl w:val="0"/>
        <w:spacing w:line="240" w:lineRule="auto"/>
        <w:jc w:val="both"/>
        <w:rPr>
          <w:rFonts w:ascii="Times New Roman" w:hAnsi="Times New Roman" w:eastAsia="SimSun" w:cs="Times New Roman"/>
          <w:sz w:val="28"/>
          <w:szCs w:val="36"/>
          <w:lang w:val="en-US" w:eastAsia="zh-CN"/>
          <w14:ligatures w14:val="none"/>
        </w:rPr>
      </w:pPr>
    </w:p>
    <w:p w14:paraId="29552173">
      <w:pPr>
        <w:pStyle w:val="15"/>
        <w:jc w:val="both"/>
      </w:pPr>
    </w:p>
    <w:p w14:paraId="385ACB23">
      <w:pPr>
        <w:spacing w:line="240" w:lineRule="auto"/>
        <w:jc w:val="both"/>
        <w:rPr>
          <w:rFonts w:ascii="Times New Roman" w:hAnsi="Times New Roman" w:cs="Times New Roman"/>
          <w:sz w:val="28"/>
          <w:szCs w:val="36"/>
        </w:rPr>
      </w:pPr>
    </w:p>
    <w:p w14:paraId="39B60D2D">
      <w:pPr>
        <w:pStyle w:val="15"/>
        <w:jc w:val="both"/>
        <w:rPr>
          <w:sz w:val="28"/>
          <w:szCs w:val="28"/>
          <w:lang w:val="en-US"/>
        </w:rPr>
      </w:pPr>
    </w:p>
    <w:p w14:paraId="2B8036CF">
      <w:pPr>
        <w:spacing w:line="240" w:lineRule="auto"/>
        <w:jc w:val="both"/>
        <w:rPr>
          <w:rFonts w:ascii="Times New Roman" w:hAnsi="Times New Roman" w:cs="Times New Roman"/>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4F"/>
    <w:rsid w:val="000348BE"/>
    <w:rsid w:val="00060A93"/>
    <w:rsid w:val="0008421B"/>
    <w:rsid w:val="000C7C76"/>
    <w:rsid w:val="0010506B"/>
    <w:rsid w:val="00107C1F"/>
    <w:rsid w:val="00185106"/>
    <w:rsid w:val="0024277E"/>
    <w:rsid w:val="00245F2D"/>
    <w:rsid w:val="0027200F"/>
    <w:rsid w:val="002727C3"/>
    <w:rsid w:val="002B1E5A"/>
    <w:rsid w:val="002E67B6"/>
    <w:rsid w:val="003C4415"/>
    <w:rsid w:val="003D1B9E"/>
    <w:rsid w:val="0040206F"/>
    <w:rsid w:val="00437E03"/>
    <w:rsid w:val="00470794"/>
    <w:rsid w:val="00484042"/>
    <w:rsid w:val="005D0FF2"/>
    <w:rsid w:val="0066598E"/>
    <w:rsid w:val="00692158"/>
    <w:rsid w:val="0069444F"/>
    <w:rsid w:val="007076CD"/>
    <w:rsid w:val="0072607C"/>
    <w:rsid w:val="007610CB"/>
    <w:rsid w:val="007615A5"/>
    <w:rsid w:val="0090276E"/>
    <w:rsid w:val="00932073"/>
    <w:rsid w:val="00933A08"/>
    <w:rsid w:val="009647FB"/>
    <w:rsid w:val="009D6F77"/>
    <w:rsid w:val="00B55619"/>
    <w:rsid w:val="00B86FCF"/>
    <w:rsid w:val="00BE2CE1"/>
    <w:rsid w:val="00BF4863"/>
    <w:rsid w:val="00C477CB"/>
    <w:rsid w:val="00CA330E"/>
    <w:rsid w:val="00CF1A02"/>
    <w:rsid w:val="00CF70C0"/>
    <w:rsid w:val="00D00ED8"/>
    <w:rsid w:val="00D36DE5"/>
    <w:rsid w:val="00D9635E"/>
    <w:rsid w:val="00EC0E7F"/>
    <w:rsid w:val="00F015C6"/>
    <w:rsid w:val="00F24A51"/>
    <w:rsid w:val="00F34BBB"/>
    <w:rsid w:val="00F50C3C"/>
    <w:rsid w:val="00F53A99"/>
    <w:rsid w:val="00FB5BA4"/>
    <w:rsid w:val="00FE6B88"/>
    <w:rsid w:val="01D012F1"/>
    <w:rsid w:val="20101289"/>
    <w:rsid w:val="36A26F18"/>
    <w:rsid w:val="3B632B7A"/>
    <w:rsid w:val="4E351A12"/>
    <w:rsid w:val="51202988"/>
    <w:rsid w:val="54BF19A6"/>
    <w:rsid w:val="5B2E5695"/>
    <w:rsid w:val="5D5E58A4"/>
    <w:rsid w:val="68981FA9"/>
    <w:rsid w:val="719B68B8"/>
    <w:rsid w:val="79994DF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467886"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en-IN"/>
      <w14:ligatures w14:val="none"/>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citation-141"/>
    <w:basedOn w:val="11"/>
    <w:qFormat/>
    <w:uiPriority w:val="0"/>
  </w:style>
  <w:style w:type="character" w:customStyle="1" w:styleId="38">
    <w:name w:val="citation-140"/>
    <w:basedOn w:val="11"/>
    <w:qFormat/>
    <w:uiPriority w:val="0"/>
  </w:style>
  <w:style w:type="character" w:customStyle="1" w:styleId="39">
    <w:name w:val="citation-139"/>
    <w:basedOn w:val="11"/>
    <w:qFormat/>
    <w:uiPriority w:val="0"/>
  </w:style>
  <w:style w:type="character" w:customStyle="1" w:styleId="40">
    <w:name w:val="citation-138"/>
    <w:basedOn w:val="11"/>
    <w:qFormat/>
    <w:uiPriority w:val="0"/>
  </w:style>
  <w:style w:type="character" w:customStyle="1" w:styleId="4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2563</Words>
  <Characters>14610</Characters>
  <Lines>121</Lines>
  <Paragraphs>34</Paragraphs>
  <TotalTime>5</TotalTime>
  <ScaleCrop>false</ScaleCrop>
  <LinksUpToDate>false</LinksUpToDate>
  <CharactersWithSpaces>17139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2026-03-17T06:08:00Z</dcterms:created>
  <dc:creator>Srishti Khanduja</dc:creator>
  <cp:lastModifiedBy>Piya Priya</cp:lastModifiedBy>
  <dcterms:modified xsi:type="dcterms:W3CDTF">2026-04-03T06:59:56Z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E3D570682D7F4F5F9D46E76776509E12_12</vt:lpwstr>
  </property>
</Properties>
</file>